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D" w:rsidRDefault="00FF65CD" w:rsidP="00FF65CD">
      <w:pPr>
        <w:rPr>
          <w:rFonts w:ascii="Times New Roman" w:hAnsi="Times New Roman" w:cs="Times New Roman"/>
          <w:sz w:val="28"/>
          <w:szCs w:val="28"/>
        </w:rPr>
      </w:pPr>
    </w:p>
    <w:p w:rsidR="00FF65CD" w:rsidRPr="00683BA7" w:rsidRDefault="00FF65CD" w:rsidP="00FF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BA7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FF65CD" w:rsidRPr="00683BA7" w:rsidRDefault="00FF65CD" w:rsidP="00FF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BA7">
        <w:rPr>
          <w:rFonts w:ascii="Times New Roman" w:hAnsi="Times New Roman" w:cs="Times New Roman"/>
          <w:sz w:val="24"/>
          <w:szCs w:val="24"/>
        </w:rPr>
        <w:t>Беломорского муниципального района</w:t>
      </w:r>
    </w:p>
    <w:p w:rsidR="00FF65CD" w:rsidRPr="00683BA7" w:rsidRDefault="00FF65CD" w:rsidP="00FF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BA7">
        <w:rPr>
          <w:rFonts w:ascii="Times New Roman" w:hAnsi="Times New Roman" w:cs="Times New Roman"/>
          <w:sz w:val="24"/>
          <w:szCs w:val="24"/>
        </w:rPr>
        <w:t>«Сумпосадская средняя общеобразовательная школа»</w:t>
      </w:r>
    </w:p>
    <w:p w:rsidR="00FF65CD" w:rsidRPr="00683BA7" w:rsidRDefault="00FF65CD" w:rsidP="00FF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83BA7">
        <w:rPr>
          <w:rFonts w:ascii="Times New Roman" w:hAnsi="Times New Roman" w:cs="Times New Roman"/>
          <w:sz w:val="24"/>
          <w:szCs w:val="24"/>
        </w:rPr>
        <w:t>правка</w:t>
      </w:r>
    </w:p>
    <w:p w:rsidR="00FF65CD" w:rsidRPr="00683BA7" w:rsidRDefault="00FF65CD" w:rsidP="00FF65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83BA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итогам  проведения  мероприятий и основных результатах работы МОУ «Сумпосадская СОШ»  по продвижению здорового образа жизни, физической культуры и Всероссийского комплекса ГТО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FF65CD" w:rsidRPr="00E62833" w:rsidRDefault="00FF65CD" w:rsidP="00FF65CD">
      <w:pPr>
        <w:rPr>
          <w:rFonts w:ascii="Times New Roman" w:hAnsi="Times New Roman" w:cs="Times New Roman"/>
          <w:sz w:val="24"/>
          <w:szCs w:val="24"/>
        </w:rPr>
      </w:pPr>
      <w:r w:rsidRPr="007C5963">
        <w:rPr>
          <w:rFonts w:ascii="Times New Roman" w:hAnsi="Times New Roman" w:cs="Times New Roman"/>
          <w:b/>
          <w:sz w:val="24"/>
          <w:szCs w:val="24"/>
        </w:rPr>
        <w:t xml:space="preserve">      Цель мероприятия:  </w:t>
      </w:r>
      <w:r w:rsidRPr="00E62833">
        <w:rPr>
          <w:rFonts w:ascii="Times New Roman" w:hAnsi="Times New Roman" w:cs="Times New Roman"/>
          <w:sz w:val="24"/>
          <w:szCs w:val="24"/>
        </w:rPr>
        <w:t>реализация Указа Президента Российской Федерации В.В. Путина «О Всероссийском физкультурно-спортивном комплексе «Готов к труду и обороне» от 24 мая 2014 года № 172, продвижение здорового образа жизни, физической культуры</w:t>
      </w:r>
    </w:p>
    <w:p w:rsidR="00FF65CD" w:rsidRDefault="00FF65CD" w:rsidP="00FF6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2016-2017 учебном году среди обучающихся МОУ «Сумпосадская СОШ» проведены «Президентские состязания», «Президентские игры», Кросс Нации, соревнования по баскетболу, лыжные гонки, легкоатлетическое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четырехборье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кросс, посвященный Дню Победы, День ходьбы, школьный фестиваль ГТО. 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674"/>
        <w:gridCol w:w="4243"/>
        <w:gridCol w:w="1133"/>
        <w:gridCol w:w="1288"/>
        <w:gridCol w:w="2374"/>
      </w:tblGrid>
      <w:tr w:rsidR="00FF65CD" w:rsidTr="002F1A1E">
        <w:tc>
          <w:tcPr>
            <w:tcW w:w="674" w:type="dxa"/>
          </w:tcPr>
          <w:p w:rsidR="00FF65CD" w:rsidRPr="00C42CB0" w:rsidRDefault="00FF65CD" w:rsidP="002F1A1E">
            <w:pPr>
              <w:jc w:val="both"/>
              <w:rPr>
                <w:b/>
                <w:sz w:val="24"/>
                <w:szCs w:val="24"/>
              </w:rPr>
            </w:pPr>
            <w:r w:rsidRPr="00C42C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43" w:type="dxa"/>
          </w:tcPr>
          <w:p w:rsidR="00FF65CD" w:rsidRPr="00C42CB0" w:rsidRDefault="00FF65CD" w:rsidP="002F1A1E">
            <w:pPr>
              <w:jc w:val="center"/>
              <w:rPr>
                <w:b/>
                <w:sz w:val="24"/>
                <w:szCs w:val="24"/>
              </w:rPr>
            </w:pPr>
            <w:r w:rsidRPr="00C42CB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3" w:type="dxa"/>
          </w:tcPr>
          <w:p w:rsidR="00FF65CD" w:rsidRPr="00C42CB0" w:rsidRDefault="00FF65CD" w:rsidP="002F1A1E">
            <w:pPr>
              <w:jc w:val="center"/>
              <w:rPr>
                <w:b/>
                <w:sz w:val="24"/>
                <w:szCs w:val="24"/>
              </w:rPr>
            </w:pPr>
            <w:r w:rsidRPr="00C42CB0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Pr="00C42CB0" w:rsidRDefault="00FF65CD" w:rsidP="002F1A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доля </w:t>
            </w:r>
            <w:proofErr w:type="gramStart"/>
            <w:r w:rsidRPr="00C42CB0">
              <w:rPr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Pr="00C42CB0" w:rsidRDefault="00FF65CD" w:rsidP="002F1A1E">
            <w:pPr>
              <w:jc w:val="center"/>
              <w:rPr>
                <w:b/>
                <w:sz w:val="24"/>
                <w:szCs w:val="24"/>
              </w:rPr>
            </w:pPr>
            <w:r w:rsidRPr="00C42CB0">
              <w:rPr>
                <w:b/>
                <w:sz w:val="24"/>
                <w:szCs w:val="24"/>
              </w:rPr>
              <w:t>достижения</w:t>
            </w: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«Президентские игры»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Кросс Нации»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победа на муниципальном уровне (личное первенство)</w:t>
            </w: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командная победа на муниципальном уровне</w:t>
            </w: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победа на муниципальном уровн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>личное первенство)</w:t>
            </w: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легкоатлетическое </w:t>
            </w:r>
            <w:proofErr w:type="spellStart"/>
            <w:r>
              <w:rPr>
                <w:sz w:val="24"/>
                <w:szCs w:val="24"/>
              </w:rPr>
              <w:t>четырехборье</w:t>
            </w:r>
            <w:proofErr w:type="spellEnd"/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кросс, посвященный Дню Победы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на муниципальном уровне (личное первенство)</w:t>
            </w: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ходьбы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</w:p>
        </w:tc>
      </w:tr>
      <w:tr w:rsidR="00FF65CD" w:rsidTr="002F1A1E">
        <w:tc>
          <w:tcPr>
            <w:tcW w:w="674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43" w:type="dxa"/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фестиваль ГТО</w:t>
            </w:r>
          </w:p>
        </w:tc>
        <w:tc>
          <w:tcPr>
            <w:tcW w:w="1133" w:type="dxa"/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FF65CD" w:rsidRDefault="00FF65CD" w:rsidP="002F1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FF65CD" w:rsidRDefault="00FF65CD" w:rsidP="002F1A1E">
            <w:pPr>
              <w:jc w:val="both"/>
              <w:rPr>
                <w:sz w:val="24"/>
                <w:szCs w:val="24"/>
              </w:rPr>
            </w:pPr>
          </w:p>
        </w:tc>
      </w:tr>
    </w:tbl>
    <w:p w:rsidR="00FF65CD" w:rsidRDefault="00FF65CD" w:rsidP="00FF65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5CD" w:rsidRDefault="00FF65CD" w:rsidP="00FF6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апреле 2016 года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ученица 11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зимнего фестиваля ГТО  стала ПОБЕДИТЕЛЕМ, защищала район на республиканских соревнованиях,  сдала нормы ГТО  на  серебряный значок. </w:t>
      </w:r>
    </w:p>
    <w:p w:rsidR="00FF65CD" w:rsidRDefault="00FF65CD" w:rsidP="00FF6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учебном году Маковская Виктория   награждена «золотом значком»,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 – «серебряным значком»,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– «серебряным значком».</w:t>
      </w:r>
    </w:p>
    <w:p w:rsidR="00FF65CD" w:rsidRDefault="00FF65CD" w:rsidP="00FF6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2017-2018 учебном году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ГТО:  6 человек (4 ступень), 1 человек (5 ступень), 1 человек (10 ступень).  </w:t>
      </w:r>
    </w:p>
    <w:p w:rsidR="00FF65CD" w:rsidRDefault="00FF65CD" w:rsidP="00FF6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21.12.2017г                          Кузнецова Т.М., учитель физической культуры</w:t>
      </w:r>
    </w:p>
    <w:sectPr w:rsidR="00FF65CD" w:rsidSect="00FF65C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4027"/>
    <w:multiLevelType w:val="hybridMultilevel"/>
    <w:tmpl w:val="C36E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854"/>
    <w:rsid w:val="002A65C9"/>
    <w:rsid w:val="0039056C"/>
    <w:rsid w:val="003F72EB"/>
    <w:rsid w:val="007C3854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54"/>
    <w:pPr>
      <w:ind w:left="720"/>
      <w:contextualSpacing/>
    </w:pPr>
  </w:style>
  <w:style w:type="table" w:styleId="a4">
    <w:name w:val="Table Grid"/>
    <w:basedOn w:val="a1"/>
    <w:uiPriority w:val="59"/>
    <w:rsid w:val="00390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2017-11-27T18:46:00Z</dcterms:created>
  <dcterms:modified xsi:type="dcterms:W3CDTF">2017-12-22T11:53:00Z</dcterms:modified>
</cp:coreProperties>
</file>